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110B" w14:textId="77777777" w:rsidR="00A84E80" w:rsidRDefault="00926321">
      <w:r w:rsidRPr="00D95F23">
        <w:rPr>
          <w:b/>
          <w:bCs/>
          <w:noProof/>
          <w:lang w:eastAsia="en-GB"/>
        </w:rPr>
        <w:drawing>
          <wp:inline distT="0" distB="0" distL="0" distR="0" wp14:anchorId="49BBC7F5" wp14:editId="43F2D865">
            <wp:extent cx="1885950" cy="536021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6" cy="5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046A891" w14:textId="5517E877" w:rsidR="00A84E80" w:rsidRPr="000234A0" w:rsidRDefault="00926321" w:rsidP="00A84E80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0234A0">
        <w:rPr>
          <w:b/>
          <w:color w:val="000000" w:themeColor="text1"/>
          <w:sz w:val="28"/>
          <w:szCs w:val="28"/>
        </w:rPr>
        <w:t xml:space="preserve">Procurement and Productivity Thought Leadership </w:t>
      </w:r>
      <w:r w:rsidR="00333018">
        <w:rPr>
          <w:b/>
          <w:color w:val="000000" w:themeColor="text1"/>
          <w:sz w:val="28"/>
          <w:szCs w:val="28"/>
        </w:rPr>
        <w:t>Theme Group</w:t>
      </w:r>
    </w:p>
    <w:p w14:paraId="01BD86CA" w14:textId="599FA6AC" w:rsidR="00926321" w:rsidRPr="000234A0" w:rsidRDefault="003D1B2A" w:rsidP="00A84E80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Thursday </w:t>
      </w:r>
      <w:r w:rsidR="00926321" w:rsidRPr="000234A0">
        <w:rPr>
          <w:b/>
          <w:color w:val="000000" w:themeColor="text1"/>
          <w:sz w:val="28"/>
          <w:szCs w:val="28"/>
        </w:rPr>
        <w:t xml:space="preserve">the </w:t>
      </w:r>
      <w:r w:rsidR="00154531">
        <w:rPr>
          <w:b/>
          <w:color w:val="000000" w:themeColor="text1"/>
          <w:sz w:val="28"/>
          <w:szCs w:val="28"/>
        </w:rPr>
        <w:t>1</w:t>
      </w:r>
      <w:r w:rsidR="00B47098">
        <w:rPr>
          <w:b/>
          <w:color w:val="000000" w:themeColor="text1"/>
          <w:sz w:val="28"/>
          <w:szCs w:val="28"/>
        </w:rPr>
        <w:t>1</w:t>
      </w:r>
      <w:r w:rsidR="00B47098" w:rsidRPr="00B47098">
        <w:rPr>
          <w:b/>
          <w:color w:val="000000" w:themeColor="text1"/>
          <w:sz w:val="28"/>
          <w:szCs w:val="28"/>
          <w:vertAlign w:val="superscript"/>
        </w:rPr>
        <w:t>th</w:t>
      </w:r>
      <w:r w:rsidR="00B47098">
        <w:rPr>
          <w:b/>
          <w:color w:val="000000" w:themeColor="text1"/>
          <w:sz w:val="28"/>
          <w:szCs w:val="28"/>
        </w:rPr>
        <w:t xml:space="preserve"> March</w:t>
      </w:r>
      <w:r w:rsidR="000D5279">
        <w:rPr>
          <w:b/>
          <w:color w:val="000000" w:themeColor="text1"/>
          <w:sz w:val="28"/>
          <w:szCs w:val="28"/>
        </w:rPr>
        <w:t xml:space="preserve"> 2021</w:t>
      </w:r>
    </w:p>
    <w:p w14:paraId="1CD32BBC" w14:textId="4CF4F751" w:rsidR="00333018" w:rsidRDefault="000A5D95" w:rsidP="00BB348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154531">
        <w:rPr>
          <w:b/>
          <w:color w:val="000000" w:themeColor="text1"/>
          <w:sz w:val="28"/>
          <w:szCs w:val="28"/>
        </w:rPr>
        <w:t>2.30</w:t>
      </w:r>
      <w:r w:rsidR="007D1232">
        <w:rPr>
          <w:b/>
          <w:color w:val="000000" w:themeColor="text1"/>
          <w:sz w:val="28"/>
          <w:szCs w:val="28"/>
        </w:rPr>
        <w:t>pm</w:t>
      </w:r>
      <w:r w:rsidR="00EB3CC9">
        <w:rPr>
          <w:b/>
          <w:color w:val="000000" w:themeColor="text1"/>
          <w:sz w:val="28"/>
          <w:szCs w:val="28"/>
        </w:rPr>
        <w:t xml:space="preserve"> </w:t>
      </w:r>
      <w:r w:rsidR="00572BF7" w:rsidRPr="000234A0">
        <w:rPr>
          <w:b/>
          <w:color w:val="000000" w:themeColor="text1"/>
          <w:sz w:val="28"/>
          <w:szCs w:val="28"/>
        </w:rPr>
        <w:t xml:space="preserve">– </w:t>
      </w:r>
      <w:r w:rsidR="00154531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.</w:t>
      </w:r>
      <w:r w:rsidR="00154531">
        <w:rPr>
          <w:b/>
          <w:color w:val="000000" w:themeColor="text1"/>
          <w:sz w:val="28"/>
          <w:szCs w:val="28"/>
        </w:rPr>
        <w:t>00</w:t>
      </w:r>
      <w:r>
        <w:rPr>
          <w:b/>
          <w:color w:val="000000" w:themeColor="text1"/>
          <w:sz w:val="28"/>
          <w:szCs w:val="28"/>
        </w:rPr>
        <w:t>pm</w:t>
      </w:r>
      <w:r w:rsidR="00333018">
        <w:rPr>
          <w:b/>
          <w:color w:val="000000" w:themeColor="text1"/>
          <w:sz w:val="28"/>
          <w:szCs w:val="28"/>
        </w:rPr>
        <w:t xml:space="preserve"> </w:t>
      </w:r>
    </w:p>
    <w:p w14:paraId="17778488" w14:textId="64088AAB" w:rsidR="00333018" w:rsidRPr="00333018" w:rsidRDefault="00EB3CC9" w:rsidP="00333018">
      <w:pPr>
        <w:jc w:val="center"/>
        <w:rPr>
          <w:rFonts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Online meeting hosted by Zoom and Microsoft Teams</w:t>
      </w:r>
    </w:p>
    <w:p w14:paraId="5927FCC6" w14:textId="7A3B5AD6" w:rsidR="00926321" w:rsidRPr="000234A0" w:rsidRDefault="00B82F2A" w:rsidP="00BB3482">
      <w:pPr>
        <w:spacing w:after="0"/>
        <w:jc w:val="center"/>
        <w:rPr>
          <w:rFonts w:ascii="Arial" w:hAnsi="Arial" w:cs="Arial"/>
          <w:b/>
          <w:color w:val="000000" w:themeColor="text1"/>
          <w:spacing w:val="2"/>
          <w:sz w:val="32"/>
          <w:szCs w:val="32"/>
          <w:shd w:val="clear" w:color="auto" w:fill="FFFFFF"/>
        </w:rPr>
      </w:pPr>
      <w:r w:rsidRPr="000234A0">
        <w:rPr>
          <w:rFonts w:ascii="Arial" w:hAnsi="Arial" w:cs="Arial"/>
          <w:b/>
          <w:color w:val="000000" w:themeColor="text1"/>
          <w:spacing w:val="2"/>
          <w:sz w:val="32"/>
          <w:szCs w:val="32"/>
          <w:shd w:val="clear" w:color="auto" w:fill="FFFFFF"/>
        </w:rPr>
        <w:t>NOTES FROM THE MEETING</w:t>
      </w:r>
    </w:p>
    <w:p w14:paraId="2CC09A4E" w14:textId="46471BC4" w:rsidR="00073C19" w:rsidRDefault="00073C19" w:rsidP="00073C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9213"/>
        <w:gridCol w:w="852"/>
      </w:tblGrid>
      <w:tr w:rsidR="00785AC7" w14:paraId="61A7DFE1" w14:textId="77777777" w:rsidTr="00154531">
        <w:tc>
          <w:tcPr>
            <w:tcW w:w="607" w:type="dxa"/>
          </w:tcPr>
          <w:p w14:paraId="4DA0E510" w14:textId="12AC0373" w:rsidR="00785AC7" w:rsidRDefault="00785AC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9213" w:type="dxa"/>
          </w:tcPr>
          <w:p w14:paraId="1A2DB130" w14:textId="4DFC2C49" w:rsidR="00785AC7" w:rsidRPr="00C52CB7" w:rsidRDefault="00EB23FB" w:rsidP="00785AC7">
            <w:pPr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P&amp;P Theme Group </w:t>
            </w:r>
            <w:r w:rsidR="00785AC7" w:rsidRPr="00C52CB7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FFFFFF"/>
              </w:rPr>
              <w:t>Business Meeting</w:t>
            </w:r>
          </w:p>
          <w:p w14:paraId="3080833C" w14:textId="77777777" w:rsidR="00785AC7" w:rsidRDefault="00785AC7" w:rsidP="00785AC7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852" w:type="dxa"/>
          </w:tcPr>
          <w:p w14:paraId="4D376844" w14:textId="77777777" w:rsidR="00785AC7" w:rsidRDefault="00785AC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785AC7" w14:paraId="1AC2ED40" w14:textId="77777777" w:rsidTr="00154531">
        <w:tc>
          <w:tcPr>
            <w:tcW w:w="607" w:type="dxa"/>
          </w:tcPr>
          <w:p w14:paraId="00449927" w14:textId="3DDF9194" w:rsidR="00785AC7" w:rsidRDefault="00154531" w:rsidP="00154531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1.0</w:t>
            </w:r>
          </w:p>
        </w:tc>
        <w:tc>
          <w:tcPr>
            <w:tcW w:w="9213" w:type="dxa"/>
          </w:tcPr>
          <w:p w14:paraId="32B2BA2C" w14:textId="558A0780" w:rsidR="00CC2C6C" w:rsidRDefault="00154531" w:rsidP="00785AC7">
            <w:pPr>
              <w:rPr>
                <w:rFonts w:cs="Arial"/>
                <w:b/>
                <w:bCs/>
                <w:spacing w:val="2"/>
                <w:shd w:val="clear" w:color="auto" w:fill="FFFFFF"/>
              </w:rPr>
            </w:pPr>
            <w:r>
              <w:rPr>
                <w:rFonts w:cs="Arial"/>
                <w:b/>
                <w:bCs/>
                <w:spacing w:val="2"/>
                <w:shd w:val="clear" w:color="auto" w:fill="FFFFFF"/>
              </w:rPr>
              <w:t xml:space="preserve">Attendees </w:t>
            </w:r>
            <w:r w:rsidR="00785AC7" w:rsidRPr="00785AC7">
              <w:rPr>
                <w:rFonts w:cs="Arial"/>
                <w:b/>
                <w:bCs/>
                <w:spacing w:val="2"/>
                <w:shd w:val="clear" w:color="auto" w:fill="FFFFFF"/>
              </w:rPr>
              <w:t xml:space="preserve"> </w:t>
            </w:r>
          </w:p>
          <w:p w14:paraId="6C0FC4A9" w14:textId="06570F29" w:rsidR="00F84F33" w:rsidRDefault="00154531" w:rsidP="00785AC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>Att</w:t>
            </w:r>
            <w:r w:rsidR="00785AC7" w:rsidRPr="00785AC7">
              <w:rPr>
                <w:rFonts w:cstheme="minorHAnsi"/>
                <w:spacing w:val="2"/>
                <w:shd w:val="clear" w:color="auto" w:fill="FFFFFF"/>
              </w:rPr>
              <w:t>end</w:t>
            </w:r>
            <w:r>
              <w:rPr>
                <w:rFonts w:cstheme="minorHAnsi"/>
                <w:spacing w:val="2"/>
                <w:shd w:val="clear" w:color="auto" w:fill="FFFFFF"/>
              </w:rPr>
              <w:t>ees</w:t>
            </w:r>
            <w:r w:rsidR="00785AC7" w:rsidRPr="00785AC7">
              <w:rPr>
                <w:rFonts w:eastAsia="Times New Roman" w:cstheme="minorHAnsi"/>
                <w:lang w:eastAsia="en-GB"/>
              </w:rPr>
              <w:t xml:space="preserve"> </w:t>
            </w:r>
            <w:r w:rsidR="00EB23FB">
              <w:rPr>
                <w:rFonts w:eastAsia="Times New Roman" w:cstheme="minorHAnsi"/>
                <w:lang w:eastAsia="en-GB"/>
              </w:rPr>
              <w:t xml:space="preserve">- </w:t>
            </w:r>
            <w:r w:rsidR="00785AC7" w:rsidRPr="00785AC7">
              <w:rPr>
                <w:rFonts w:eastAsia="Times New Roman" w:cstheme="minorHAnsi"/>
                <w:lang w:eastAsia="en-GB"/>
              </w:rPr>
              <w:t xml:space="preserve">Martyn Jones, Andrew Brown, </w:t>
            </w:r>
            <w:r w:rsidR="00B47098">
              <w:rPr>
                <w:rFonts w:eastAsia="Times New Roman" w:cstheme="minorHAnsi"/>
                <w:lang w:eastAsia="en-GB"/>
              </w:rPr>
              <w:t>Tim Goodman</w:t>
            </w:r>
            <w:r w:rsidR="000A5D95">
              <w:rPr>
                <w:rFonts w:eastAsia="Times New Roman" w:cstheme="minorHAnsi"/>
                <w:lang w:eastAsia="en-GB"/>
              </w:rPr>
              <w:t xml:space="preserve">, </w:t>
            </w:r>
            <w:r w:rsidR="00F84F33">
              <w:rPr>
                <w:rFonts w:eastAsia="Times New Roman" w:cstheme="minorHAnsi"/>
                <w:lang w:eastAsia="en-GB"/>
              </w:rPr>
              <w:t>Mike Chaney</w:t>
            </w:r>
            <w:r>
              <w:rPr>
                <w:rFonts w:eastAsia="Times New Roman" w:cstheme="minorHAnsi"/>
                <w:lang w:eastAsia="en-GB"/>
              </w:rPr>
              <w:t xml:space="preserve">, </w:t>
            </w:r>
            <w:r w:rsidR="00B47098">
              <w:rPr>
                <w:rFonts w:eastAsia="Times New Roman" w:cstheme="minorHAnsi"/>
                <w:lang w:eastAsia="en-GB"/>
              </w:rPr>
              <w:t>Chris Meadows</w:t>
            </w:r>
            <w:r w:rsidR="00F84F33">
              <w:rPr>
                <w:rFonts w:eastAsia="Times New Roman" w:cstheme="minorHAnsi"/>
                <w:lang w:eastAsia="en-GB"/>
              </w:rPr>
              <w:t xml:space="preserve">, </w:t>
            </w:r>
            <w:r w:rsidR="00B47098">
              <w:rPr>
                <w:rFonts w:eastAsia="Times New Roman" w:cstheme="minorHAnsi"/>
                <w:lang w:eastAsia="en-GB"/>
              </w:rPr>
              <w:t>Perwina Whitmore, Harry Broughton</w:t>
            </w:r>
            <w:r w:rsidR="00F84F33">
              <w:rPr>
                <w:rFonts w:eastAsia="Times New Roman" w:cstheme="minorHAnsi"/>
                <w:lang w:eastAsia="en-GB"/>
              </w:rPr>
              <w:t>.</w:t>
            </w:r>
          </w:p>
          <w:p w14:paraId="62B41B8C" w14:textId="19149C0B" w:rsidR="00785AC7" w:rsidRDefault="00785AC7" w:rsidP="00F84F33">
            <w:pPr>
              <w:rPr>
                <w:rFonts w:eastAsiaTheme="minorEastAsia" w:hAnsi="Calibri"/>
                <w:color w:val="000000" w:themeColor="text1"/>
                <w:kern w:val="24"/>
              </w:rPr>
            </w:pPr>
          </w:p>
        </w:tc>
        <w:tc>
          <w:tcPr>
            <w:tcW w:w="852" w:type="dxa"/>
          </w:tcPr>
          <w:p w14:paraId="3291B469" w14:textId="77777777" w:rsidR="00785AC7" w:rsidRDefault="00785AC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91E3F" w14:paraId="45291126" w14:textId="77777777" w:rsidTr="00154531">
        <w:tc>
          <w:tcPr>
            <w:tcW w:w="607" w:type="dxa"/>
          </w:tcPr>
          <w:p w14:paraId="0833CD8E" w14:textId="5CC6B067" w:rsidR="00E91E3F" w:rsidRDefault="00E91E3F" w:rsidP="00154531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2.00</w:t>
            </w:r>
          </w:p>
        </w:tc>
        <w:tc>
          <w:tcPr>
            <w:tcW w:w="9213" w:type="dxa"/>
          </w:tcPr>
          <w:p w14:paraId="6ED89D33" w14:textId="7346EDCD" w:rsidR="00E91E3F" w:rsidRDefault="00E91E3F" w:rsidP="00785AC7">
            <w:pPr>
              <w:rPr>
                <w:rFonts w:cs="Arial"/>
                <w:spacing w:val="2"/>
                <w:shd w:val="clear" w:color="auto" w:fill="FFFFFF"/>
              </w:rPr>
            </w:pPr>
            <w:r w:rsidRPr="00E91E3F">
              <w:rPr>
                <w:rFonts w:cs="Arial"/>
                <w:spacing w:val="2"/>
                <w:shd w:val="clear" w:color="auto" w:fill="FFFFFF"/>
              </w:rPr>
              <w:t xml:space="preserve">AB outlined reason for change of </w:t>
            </w:r>
            <w:r>
              <w:rPr>
                <w:rFonts w:cs="Arial"/>
                <w:spacing w:val="2"/>
                <w:shd w:val="clear" w:color="auto" w:fill="FFFFFF"/>
              </w:rPr>
              <w:t>Meeting F</w:t>
            </w:r>
            <w:r w:rsidRPr="00E91E3F">
              <w:rPr>
                <w:rFonts w:cs="Arial"/>
                <w:spacing w:val="2"/>
                <w:shd w:val="clear" w:color="auto" w:fill="FFFFFF"/>
              </w:rPr>
              <w:t>ormat. Ie to get discussion on current topics rather than use meeting to review actions and previous agenda</w:t>
            </w:r>
            <w:r w:rsidR="003D1B2A">
              <w:rPr>
                <w:rFonts w:cs="Arial"/>
                <w:spacing w:val="2"/>
                <w:shd w:val="clear" w:color="auto" w:fill="FFFFFF"/>
              </w:rPr>
              <w:t xml:space="preserve"> items</w:t>
            </w:r>
            <w:r w:rsidRPr="00E91E3F">
              <w:rPr>
                <w:rFonts w:cs="Arial"/>
                <w:spacing w:val="2"/>
                <w:shd w:val="clear" w:color="auto" w:fill="FFFFFF"/>
              </w:rPr>
              <w:t xml:space="preserve">. </w:t>
            </w:r>
            <w:r>
              <w:rPr>
                <w:rFonts w:cs="Arial"/>
                <w:spacing w:val="2"/>
                <w:shd w:val="clear" w:color="auto" w:fill="FFFFFF"/>
              </w:rPr>
              <w:t>( Post Meeting Note – This was seen as better by todays attendees )</w:t>
            </w:r>
          </w:p>
          <w:p w14:paraId="466188D1" w14:textId="3225CA8F" w:rsidR="00E91E3F" w:rsidRPr="00E91E3F" w:rsidRDefault="00E91E3F" w:rsidP="00785AC7">
            <w:pPr>
              <w:rPr>
                <w:rFonts w:cs="Arial"/>
                <w:spacing w:val="2"/>
                <w:shd w:val="clear" w:color="auto" w:fill="FFFFFF"/>
              </w:rPr>
            </w:pPr>
            <w:r>
              <w:rPr>
                <w:rFonts w:cs="Arial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852" w:type="dxa"/>
          </w:tcPr>
          <w:p w14:paraId="26CA97AA" w14:textId="28BCDA49" w:rsidR="00E91E3F" w:rsidRDefault="003D1B2A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AB</w:t>
            </w:r>
          </w:p>
        </w:tc>
      </w:tr>
      <w:tr w:rsidR="00B47098" w14:paraId="2FF33411" w14:textId="77777777" w:rsidTr="00154531">
        <w:tc>
          <w:tcPr>
            <w:tcW w:w="607" w:type="dxa"/>
          </w:tcPr>
          <w:p w14:paraId="55DBA778" w14:textId="77777777" w:rsidR="00B47098" w:rsidRDefault="00B47098" w:rsidP="00143B43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9213" w:type="dxa"/>
          </w:tcPr>
          <w:p w14:paraId="45646781" w14:textId="44708056" w:rsidR="00B47098" w:rsidRDefault="00B47098" w:rsidP="00B47098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Topics Discussed</w:t>
            </w:r>
          </w:p>
          <w:p w14:paraId="66B4902A" w14:textId="77777777" w:rsidR="00B47098" w:rsidRDefault="00B47098" w:rsidP="00B47098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2" w:type="dxa"/>
          </w:tcPr>
          <w:p w14:paraId="380B98D7" w14:textId="77777777" w:rsidR="00B47098" w:rsidRDefault="00B47098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0A4D41" w14:paraId="4ECA17F2" w14:textId="77777777" w:rsidTr="00154531">
        <w:tc>
          <w:tcPr>
            <w:tcW w:w="607" w:type="dxa"/>
          </w:tcPr>
          <w:p w14:paraId="1EBFB7F7" w14:textId="11B316DE" w:rsidR="000A4D41" w:rsidRDefault="00E91E3F" w:rsidP="00143B43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3</w:t>
            </w:r>
            <w:r w:rsidR="00F84F3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.00</w:t>
            </w:r>
          </w:p>
        </w:tc>
        <w:tc>
          <w:tcPr>
            <w:tcW w:w="9213" w:type="dxa"/>
          </w:tcPr>
          <w:p w14:paraId="2E69A294" w14:textId="1A5B2F01" w:rsidR="00B47098" w:rsidRPr="00B47098" w:rsidRDefault="00B47098" w:rsidP="00B47098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kern w:val="24"/>
                <w:sz w:val="22"/>
                <w:szCs w:val="22"/>
              </w:rPr>
            </w:pPr>
            <w:r w:rsidRPr="00B47098">
              <w:rPr>
                <w:rFonts w:asciiTheme="minorHAnsi" w:eastAsiaTheme="minorEastAsia" w:hAnsi="Calibri" w:cstheme="minorBidi"/>
                <w:b/>
                <w:kern w:val="24"/>
                <w:sz w:val="22"/>
                <w:szCs w:val="22"/>
              </w:rPr>
              <w:t>Pros &amp; Cons of Construction Management as Procurement Method</w:t>
            </w:r>
          </w:p>
          <w:p w14:paraId="46E258A3" w14:textId="144415BA" w:rsidR="00E068C0" w:rsidRDefault="00B47098" w:rsidP="00B47098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This was a popular to procure in the 80’s spearheaded in Canary Wharf, but believed to be used in about 1 in 10 projects.</w:t>
            </w:r>
            <w:r w:rsidR="00AF72F2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Good discussion took place with key points noted below.</w:t>
            </w:r>
          </w:p>
          <w:p w14:paraId="34371D5E" w14:textId="416E72FE" w:rsidR="00B47098" w:rsidRDefault="00B47098" w:rsidP="00B47098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</w:p>
          <w:p w14:paraId="453E5DEE" w14:textId="13C13766" w:rsidR="00B47098" w:rsidRDefault="00B47098" w:rsidP="00BA014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Cost Risk ultimately stays with clients</w:t>
            </w:r>
            <w:r w:rsidR="00AF72F2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, so may not suit private sector clients if cost certainly needed before starting.</w:t>
            </w:r>
            <w:r w:rsidR="009D1B29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</w:t>
            </w:r>
          </w:p>
          <w:p w14:paraId="7F3385ED" w14:textId="09E0EFDF" w:rsidR="00B47098" w:rsidRDefault="00B47098" w:rsidP="00BA014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Not all Main Contractors offer it as service</w:t>
            </w:r>
            <w:r w:rsidR="00AF72F2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but those that do are often specialists in this method of procurement.</w:t>
            </w:r>
          </w:p>
          <w:p w14:paraId="5534D1CF" w14:textId="773CDB6C" w:rsidR="00AF72F2" w:rsidRDefault="00AF72F2" w:rsidP="00BA014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Clients have more relationships to manage as Package Contractors direct to them</w:t>
            </w:r>
            <w:r w:rsidR="0066145A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so need to have the resources to deal with this.</w:t>
            </w:r>
          </w:p>
          <w:p w14:paraId="677AEE90" w14:textId="563F0863" w:rsidR="009D1B29" w:rsidRDefault="0066145A" w:rsidP="00BA014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Key </w:t>
            </w:r>
            <w:r w:rsidR="00AF72F2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Package Contractors expected to be closer to designers</w:t>
            </w:r>
            <w:r w:rsidR="009D1B29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and hence seen as more collaborative</w:t>
            </w: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.</w:t>
            </w:r>
          </w:p>
          <w:p w14:paraId="50969FC2" w14:textId="735B1FD4" w:rsidR="00AF72F2" w:rsidRDefault="009D1B29" w:rsidP="00BA014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W</w:t>
            </w:r>
            <w:r w:rsidR="00AF72F2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orks be</w:t>
            </w: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st</w:t>
            </w:r>
            <w:r w:rsidR="00AF72F2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with similar repeating type projects – eg Retail or Offices rather than bespoke one offs.</w:t>
            </w: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</w:t>
            </w:r>
          </w:p>
          <w:p w14:paraId="10A7A9B8" w14:textId="78932FEA" w:rsidR="00AF72F2" w:rsidRDefault="00AF72F2" w:rsidP="00BA014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Should not be forgotten as a</w:t>
            </w:r>
            <w:r w:rsidR="009D1B29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procurement</w:t>
            </w: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option. </w:t>
            </w:r>
          </w:p>
          <w:p w14:paraId="3C014278" w14:textId="58E54E58" w:rsidR="00EE27F5" w:rsidRPr="008D7D80" w:rsidRDefault="00EE27F5" w:rsidP="009D1B2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2" w:type="dxa"/>
          </w:tcPr>
          <w:p w14:paraId="59335552" w14:textId="77777777" w:rsidR="000A4D41" w:rsidRDefault="000A4D41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62E47333" w14:textId="7EF8ED8C" w:rsidR="009A1973" w:rsidRDefault="007F1CD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72063C86" w14:textId="77777777" w:rsidR="007F1CD7" w:rsidRDefault="007F1CD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1C6580B2" w14:textId="77777777" w:rsidR="009A1973" w:rsidRDefault="009A1973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7D06EE39" w14:textId="77777777" w:rsidR="009A1973" w:rsidRDefault="009A1973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175FBC5E" w14:textId="77777777" w:rsidR="009A1973" w:rsidRDefault="009A1973" w:rsidP="004B675C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1F601B" w14:paraId="2C7E417E" w14:textId="77777777" w:rsidTr="00154531">
        <w:tc>
          <w:tcPr>
            <w:tcW w:w="607" w:type="dxa"/>
          </w:tcPr>
          <w:p w14:paraId="4B1CD514" w14:textId="16ABA351" w:rsidR="001F601B" w:rsidRDefault="00E91E3F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4.00</w:t>
            </w:r>
          </w:p>
        </w:tc>
        <w:tc>
          <w:tcPr>
            <w:tcW w:w="9213" w:type="dxa"/>
          </w:tcPr>
          <w:p w14:paraId="0C664486" w14:textId="2A933C31" w:rsidR="001F601B" w:rsidRDefault="009D1B29" w:rsidP="00F36AD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RIBA Plan of Work – Further procurement guidance</w:t>
            </w:r>
          </w:p>
          <w:p w14:paraId="1EB01A30" w14:textId="0E69CC85" w:rsidR="009D1B29" w:rsidRDefault="009D1B29" w:rsidP="00F36AD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This is clearly the </w:t>
            </w:r>
            <w:r w:rsidR="0066145A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I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ndustry Winner in terms of </w:t>
            </w:r>
            <w:r w:rsidR="00BA0147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tracking 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what stage a project is at</w:t>
            </w:r>
            <w:r w:rsidR="0066145A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,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however felt that procurement guidance could be better.</w:t>
            </w:r>
            <w:r w:rsidR="0066145A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Good discussion took place with key points below.</w:t>
            </w:r>
          </w:p>
          <w:p w14:paraId="59FB4EE1" w14:textId="190DE721" w:rsidR="0066145A" w:rsidRDefault="0066145A" w:rsidP="00F36AD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</w:p>
          <w:p w14:paraId="041DAABC" w14:textId="13003C94" w:rsidR="00707A8D" w:rsidRDefault="00707A8D" w:rsidP="00BA014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Overall this is a </w:t>
            </w:r>
            <w:r w:rsidR="00BA0147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really 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well presented and helpful document and guide.</w:t>
            </w:r>
          </w:p>
          <w:p w14:paraId="745729BA" w14:textId="05377FC8" w:rsidR="00707A8D" w:rsidRDefault="0066145A" w:rsidP="00BA014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Procurement </w:t>
            </w:r>
            <w:r w:rsidR="00BA0147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however 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only really associated with appointment of Contractors from Stage 2 onwards</w:t>
            </w:r>
            <w:r w:rsidR="00707A8D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and no real discussion of understanding options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. </w:t>
            </w:r>
          </w:p>
          <w:p w14:paraId="4568AB37" w14:textId="617B5819" w:rsidR="0066145A" w:rsidRDefault="0066145A" w:rsidP="00BA014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Clearly in Stage 0 appointment of Client Team and Design Team in Stage 1 involves procurement. </w:t>
            </w:r>
            <w:r w:rsidR="00707A8D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Just need to decide how these should be procured. </w:t>
            </w:r>
          </w:p>
          <w:p w14:paraId="53EFB27D" w14:textId="15BEE627" w:rsidR="00707A8D" w:rsidRDefault="00707A8D" w:rsidP="00BA014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Suggested Procurement Strategy should be earlier piece of work and worth defining once agreed to make clear. This can be revised but having a robust Procurement Plan is good practice.</w:t>
            </w:r>
          </w:p>
          <w:p w14:paraId="6EB82C4C" w14:textId="0D4AA401" w:rsidR="0066145A" w:rsidRDefault="0066145A" w:rsidP="00BA014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Key Packages which effect design ie </w:t>
            </w:r>
            <w:r w:rsidR="00707A8D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Cladding or 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M&amp;E should be earlier. </w:t>
            </w:r>
          </w:p>
          <w:p w14:paraId="426B4AF4" w14:textId="46A7966D" w:rsidR="0066145A" w:rsidRDefault="00BA0147" w:rsidP="00BA014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K</w:t>
            </w:r>
            <w:r w:rsidR="0066145A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ey 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P</w:t>
            </w:r>
            <w:r w:rsidR="0066145A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ackage contractors will be happy to assist </w:t>
            </w:r>
            <w:r w:rsidR="00707A8D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design team </w:t>
            </w:r>
            <w:r w:rsidR="0066145A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without an order as long as they have a fair chance of </w:t>
            </w:r>
            <w:r w:rsidR="007A14DB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tendering and so </w:t>
            </w:r>
            <w:r w:rsidR="00707A8D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winning the package </w:t>
            </w:r>
            <w:r w:rsidR="0066145A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later.</w:t>
            </w:r>
          </w:p>
          <w:p w14:paraId="2C273456" w14:textId="51126DB0" w:rsidR="001F601B" w:rsidRPr="001F601B" w:rsidRDefault="001F601B" w:rsidP="009D1B2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</w:p>
        </w:tc>
        <w:tc>
          <w:tcPr>
            <w:tcW w:w="852" w:type="dxa"/>
          </w:tcPr>
          <w:p w14:paraId="770F996F" w14:textId="3658927F" w:rsidR="001F601B" w:rsidRDefault="003D1B2A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 </w:t>
            </w:r>
          </w:p>
        </w:tc>
      </w:tr>
      <w:tr w:rsidR="002A7FCC" w14:paraId="7520DF3E" w14:textId="77777777" w:rsidTr="00154531">
        <w:tc>
          <w:tcPr>
            <w:tcW w:w="607" w:type="dxa"/>
          </w:tcPr>
          <w:p w14:paraId="1770AD2A" w14:textId="348CE9B9" w:rsidR="002A7FCC" w:rsidRDefault="00E91E3F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5.00</w:t>
            </w:r>
          </w:p>
        </w:tc>
        <w:tc>
          <w:tcPr>
            <w:tcW w:w="9213" w:type="dxa"/>
          </w:tcPr>
          <w:p w14:paraId="606F1713" w14:textId="07A119F6" w:rsidR="007A14DB" w:rsidRDefault="007A14DB" w:rsidP="007A1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 w:rsidRPr="007A14DB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Bonds &amp; Surety</w:t>
            </w:r>
          </w:p>
          <w:p w14:paraId="4A6D9A87" w14:textId="371C0C40" w:rsidR="007A14DB" w:rsidRDefault="007A14DB" w:rsidP="007A1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This is becoming a bigger issue than previously, especially post Carillion. Discussion key points below</w:t>
            </w:r>
          </w:p>
          <w:p w14:paraId="4A0EC7D8" w14:textId="34158615" w:rsidR="007A14DB" w:rsidRDefault="007A14DB" w:rsidP="007A1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</w:p>
          <w:p w14:paraId="38C59A96" w14:textId="7802DEB6" w:rsidR="007A14DB" w:rsidRDefault="007A14DB" w:rsidP="00BA014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Concerns of the difficulty to obtain and also increased cost</w:t>
            </w:r>
          </w:p>
          <w:p w14:paraId="2126EFD8" w14:textId="0B72111C" w:rsidR="00CA2677" w:rsidRDefault="00CA2677" w:rsidP="00BA014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Suppliers also struggling to obtain credit insurance of Main Contractors</w:t>
            </w:r>
          </w:p>
          <w:p w14:paraId="1AC16FED" w14:textId="4B9BF71B" w:rsidR="00CA2677" w:rsidRDefault="00CA2677" w:rsidP="00BA014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Public sector more likely to require Bonds </w:t>
            </w:r>
          </w:p>
          <w:p w14:paraId="0015D2F8" w14:textId="3628E3A8" w:rsidR="00CA2677" w:rsidRDefault="00CA2677" w:rsidP="00BA014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Whilst Bonds are usually for 10% of package value the true cost of a Contractors insolvency can be a lot more </w:t>
            </w:r>
          </w:p>
          <w:p w14:paraId="19A8E68A" w14:textId="732451C3" w:rsidR="007A14DB" w:rsidRDefault="007A14DB" w:rsidP="00BA014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Many insurers stepping back from Construction generally</w:t>
            </w:r>
            <w:r w:rsidR="00B935AF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as seen as low margin and high risk.</w:t>
            </w:r>
          </w:p>
          <w:p w14:paraId="0DC93254" w14:textId="1663E7EF" w:rsidR="007A14DB" w:rsidRDefault="007A14DB" w:rsidP="00BA014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Main Contractors often prefer PCG’s</w:t>
            </w:r>
            <w:r w:rsidR="00B935AF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to protect from insolvency risk</w:t>
            </w:r>
          </w:p>
          <w:p w14:paraId="72C02052" w14:textId="0786039E" w:rsidR="007A14DB" w:rsidRDefault="007A14DB" w:rsidP="00BA014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Getting cover of £500k on an </w:t>
            </w:r>
            <w:r w:rsidR="00CA2677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smaller 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M&amp;E Company is a problem</w:t>
            </w:r>
            <w:r w:rsidR="00CA2677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so makes it harder for smaller Package Contractors to take part who can’t get any cover.</w:t>
            </w:r>
          </w:p>
          <w:p w14:paraId="40764B46" w14:textId="15328E8E" w:rsidR="00CA2677" w:rsidRDefault="00CA2677" w:rsidP="00CA267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</w:p>
          <w:p w14:paraId="4F93940F" w14:textId="11C56FC1" w:rsidR="00CA2677" w:rsidRDefault="00CA2677" w:rsidP="00CA267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What measure</w:t>
            </w:r>
            <w:r w:rsidR="00B935AF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s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might help ?</w:t>
            </w:r>
          </w:p>
          <w:p w14:paraId="081BAC3F" w14:textId="08DB2178" w:rsidR="00CA2677" w:rsidRDefault="00CA2677" w:rsidP="00BA014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Project Bank Accounts although these reduce Main Contractors cashflows</w:t>
            </w:r>
          </w:p>
          <w:p w14:paraId="5A31E378" w14:textId="43CDE8F2" w:rsidR="00CA2677" w:rsidRDefault="00CA2677" w:rsidP="00BA014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Integrated Project insurance rather than all parties paying for own</w:t>
            </w:r>
          </w:p>
          <w:p w14:paraId="4D6E6767" w14:textId="0BF3F111" w:rsidR="00CA2677" w:rsidRDefault="00CA2677" w:rsidP="00BA014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Not overloading or over stretching good smaller Package Contractors </w:t>
            </w:r>
          </w:p>
          <w:p w14:paraId="58AFD3EA" w14:textId="7B26CC8D" w:rsidR="002A7FCC" w:rsidRPr="002A7FCC" w:rsidRDefault="002A7FCC" w:rsidP="00F36AD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</w:p>
        </w:tc>
        <w:tc>
          <w:tcPr>
            <w:tcW w:w="852" w:type="dxa"/>
          </w:tcPr>
          <w:p w14:paraId="29D490B6" w14:textId="77777777" w:rsidR="002A7FCC" w:rsidRDefault="002A7FCC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6C618B10" w14:textId="1CD51A24" w:rsidR="003D1B2A" w:rsidRDefault="003D1B2A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</w:tr>
      <w:tr w:rsidR="00F36AD9" w14:paraId="4E8566A4" w14:textId="77777777" w:rsidTr="00154531">
        <w:tc>
          <w:tcPr>
            <w:tcW w:w="607" w:type="dxa"/>
          </w:tcPr>
          <w:p w14:paraId="4B991429" w14:textId="77777777" w:rsidR="00F36AD9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6.0</w:t>
            </w:r>
          </w:p>
          <w:p w14:paraId="0C1A0A98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1C641650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6.1</w:t>
            </w:r>
          </w:p>
          <w:p w14:paraId="3637D3DE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055B2757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604CCE5B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69DE3692" w14:textId="2E737F42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6.2</w:t>
            </w:r>
          </w:p>
          <w:p w14:paraId="1FE5E085" w14:textId="50E3041D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3021B669" w14:textId="185FA6E0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289192DA" w14:textId="73BB86DD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7C31CC09" w14:textId="1D6D69EF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0985C8A0" w14:textId="6C6E4A95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5E3039A0" w14:textId="3615A8D3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6.3</w:t>
            </w:r>
          </w:p>
          <w:p w14:paraId="4F6BD8BB" w14:textId="776650BA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2B33E4C2" w14:textId="00DBC39E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09EC2F69" w14:textId="44E38CA9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6898199A" w14:textId="2E1B282D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62E10A28" w14:textId="6E4F8921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7C4CA6B4" w14:textId="425C881B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6.4</w:t>
            </w:r>
          </w:p>
          <w:p w14:paraId="72DE5BCE" w14:textId="5774F288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3C893F9F" w14:textId="785A8608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43D4E7DA" w14:textId="59CF754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06D311E4" w14:textId="6A621D49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510A61F8" w14:textId="26A42E8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6.4</w:t>
            </w:r>
          </w:p>
          <w:p w14:paraId="0399AAF7" w14:textId="394088DE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7BCF7CE5" w14:textId="61F74BA2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671D7C29" w14:textId="147FBB6E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6.6</w:t>
            </w:r>
          </w:p>
          <w:p w14:paraId="061E8A4D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46731FF5" w14:textId="499DDBDC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4808694D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13C194CA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6F5E6F58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3D68C315" w14:textId="77777777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6531C71C" w14:textId="6A22356F" w:rsidR="00BA0147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6.7</w:t>
            </w:r>
          </w:p>
        </w:tc>
        <w:tc>
          <w:tcPr>
            <w:tcW w:w="9213" w:type="dxa"/>
          </w:tcPr>
          <w:p w14:paraId="319AE597" w14:textId="77777777" w:rsidR="00BA0147" w:rsidRDefault="00BA0147" w:rsidP="00F36AD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 xml:space="preserve">Previous Study Suggestions </w:t>
            </w:r>
          </w:p>
          <w:p w14:paraId="5F4C5195" w14:textId="77777777" w:rsidR="00BA0147" w:rsidRDefault="00BA0147" w:rsidP="00F36AD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  <w:p w14:paraId="0FC17A1E" w14:textId="1E668D6D" w:rsidR="00F36AD9" w:rsidRDefault="00F36AD9" w:rsidP="00F36AD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 w:rsidRPr="00F36AD9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Identify lessons learnt during Covid Pandemic to be ready for a 2</w:t>
            </w:r>
            <w:r w:rsidRPr="00F36AD9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  <w:vertAlign w:val="superscript"/>
              </w:rPr>
              <w:t>nd</w:t>
            </w:r>
            <w:r w:rsidRPr="00F36AD9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 xml:space="preserve"> Spike</w:t>
            </w: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39B0E826" w14:textId="318A5342" w:rsidR="00A23D87" w:rsidRDefault="00F36AD9" w:rsidP="00BA01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 w:rsidRP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Mike Rosewarne</w:t>
            </w:r>
            <w:r w:rsidR="002A7FCC" w:rsidRP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, ( Midas ), C</w:t>
            </w:r>
            <w:r w:rsidR="00A23D87" w:rsidRP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hris Meadows </w:t>
            </w:r>
            <w:r w:rsid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( already </w:t>
            </w:r>
            <w:r w:rsidR="00A23D87" w:rsidRP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happy to be involved</w:t>
            </w:r>
          </w:p>
          <w:p w14:paraId="22A8D7A1" w14:textId="441D734A" w:rsidR="002A7FCC" w:rsidRPr="002A7FCC" w:rsidRDefault="002A7FCC" w:rsidP="00BA01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Adam Desmonde ( Desmonde Associates ) offered to join this one </w:t>
            </w:r>
          </w:p>
          <w:p w14:paraId="53202BC8" w14:textId="77777777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  <w:p w14:paraId="5317EF6B" w14:textId="7CC9571F" w:rsidR="00964D57" w:rsidRPr="00F36AD9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 w:rsidRPr="00F36AD9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Cost v Value to Bristol’s Nightingale Hospital</w:t>
            </w:r>
          </w:p>
          <w:p w14:paraId="5848BD20" w14:textId="77777777" w:rsidR="00964D57" w:rsidRDefault="00964D57" w:rsidP="00BA01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It was accepted that expected life was shorter, understanding the margin and costs would be really beneficial to see if to what extent costs were affected by this level of collaboration</w:t>
            </w:r>
          </w:p>
          <w:p w14:paraId="798C6BFC" w14:textId="77777777" w:rsidR="00964D57" w:rsidRPr="002A7FCC" w:rsidRDefault="00964D57" w:rsidP="00BA01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 w:rsidRP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Andrew Brown ( Churngold ) Michael Chaney </w:t>
            </w: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( Willmott Dixon ) </w:t>
            </w:r>
            <w:r w:rsidRP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had expressed wish to be involved</w:t>
            </w:r>
          </w:p>
          <w:p w14:paraId="71A0BB5A" w14:textId="77777777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  <w:p w14:paraId="7BC20A70" w14:textId="143C8AAD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 w:rsidRPr="00F36AD9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Pro &amp; Cons of Construction Management as a Procurement Method</w:t>
            </w:r>
          </w:p>
          <w:p w14:paraId="5E1777C7" w14:textId="77777777" w:rsidR="00964D57" w:rsidRDefault="00964D57" w:rsidP="00BA01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MJ stated he had been chasing MACE for involvement for some time but to no avail. AC was looking to contact. </w:t>
            </w:r>
          </w:p>
          <w:p w14:paraId="455AE855" w14:textId="77777777" w:rsidR="00964D57" w:rsidRPr="002A7FCC" w:rsidRDefault="00964D57" w:rsidP="00BA01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 w:rsidRP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John Hunter </w:t>
            </w: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( Tercon ) </w:t>
            </w:r>
            <w:r w:rsidRP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had previously expressed interest,  Catherine Welch ( Royds Withy King ) agreed to join.</w:t>
            </w:r>
          </w:p>
          <w:p w14:paraId="47DCEF49" w14:textId="77777777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  <w:p w14:paraId="38B81535" w14:textId="3E4067DA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 w:rsidRPr="00C605B9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Supplier Development</w:t>
            </w:r>
          </w:p>
          <w:p w14:paraId="09126594" w14:textId="77777777" w:rsidR="00964D57" w:rsidRPr="002A7FCC" w:rsidRDefault="00964D57" w:rsidP="00BA014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 w:rsidRPr="002A7FCC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Mike Chaney ( Willmott Dixon ) had previously lead this section and Martin Jones was keen to join in. Opportunity to explore what other industries do.</w:t>
            </w:r>
          </w:p>
          <w:p w14:paraId="21CF91A5" w14:textId="77777777" w:rsidR="00964D57" w:rsidRPr="002A7FCC" w:rsidRDefault="00964D57" w:rsidP="00BA014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 w:rsidRPr="002A7FCC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Paul Richards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( Aquarian )</w:t>
            </w:r>
            <w:r w:rsidRPr="002A7FCC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offered to join this team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.</w:t>
            </w:r>
          </w:p>
          <w:p w14:paraId="547A8608" w14:textId="77777777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  <w:p w14:paraId="104E1FC7" w14:textId="01D49C3D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Is Procurement the Elephant in the Room ?</w:t>
            </w:r>
          </w:p>
          <w:p w14:paraId="2025D98E" w14:textId="05BC9BC6" w:rsidR="00964D57" w:rsidRDefault="00964D57" w:rsidP="00BA014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This came from Helen Baker from UWE but no takers so far </w:t>
            </w:r>
          </w:p>
          <w:p w14:paraId="2FB0A484" w14:textId="77777777" w:rsidR="00BA0147" w:rsidRDefault="00BA0147" w:rsidP="00BA0147">
            <w:pPr>
              <w:pStyle w:val="NormalWeb"/>
              <w:spacing w:before="0" w:beforeAutospacing="0" w:after="0" w:afterAutospacing="0"/>
              <w:ind w:left="36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</w:p>
          <w:p w14:paraId="2A4297A4" w14:textId="77777777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Standardisation of Inductions across the Industry</w:t>
            </w:r>
          </w:p>
          <w:p w14:paraId="57C02666" w14:textId="77777777" w:rsidR="00964D57" w:rsidRDefault="00964D57" w:rsidP="00BA014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Suggested by Peter Everitt of Willmott Dixon who offered his H&amp;S colleagues to assist.</w:t>
            </w:r>
          </w:p>
          <w:p w14:paraId="018DFD43" w14:textId="77777777" w:rsidR="00964D57" w:rsidRDefault="00964D57" w:rsidP="00BA014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Quality of Inductions being given on site is seen as haphazard to say the least.</w:t>
            </w:r>
          </w:p>
          <w:p w14:paraId="3F399D86" w14:textId="77777777" w:rsidR="00964D57" w:rsidRPr="00651640" w:rsidRDefault="00964D57" w:rsidP="00BA014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 w:rsidRPr="00651640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There is clearly a real productivity improvement if delivered as would save time and effort for delivery and those attending. Create Passport as used by Oil and Gas industry.</w:t>
            </w:r>
          </w:p>
          <w:p w14:paraId="25725816" w14:textId="77777777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  <w:p w14:paraId="4E8776DC" w14:textId="1C87EBEB" w:rsidR="00964D57" w:rsidRDefault="00964D57" w:rsidP="00964D5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RIBA Plan of Work – Expanding Procurement advice within document</w:t>
            </w:r>
          </w:p>
          <w:p w14:paraId="47121A4E" w14:textId="4B9B15B0" w:rsidR="00964D57" w:rsidRDefault="00964D57" w:rsidP="00BA014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Andrew Brown ( Churngold ) &amp; Chris Meadows (Hastoe HA ), Perwina Whitworth ( </w:t>
            </w:r>
            <w:r w:rsidR="009C1F6A"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>Scape Group</w:t>
            </w:r>
            <w:r>
              <w:rPr>
                <w:rFonts w:asciiTheme="minorHAnsi" w:eastAsiaTheme="minorEastAsia" w:hAnsi="Calibri" w:cstheme="minorBidi"/>
                <w:bCs/>
                <w:kern w:val="24"/>
                <w:sz w:val="22"/>
                <w:szCs w:val="22"/>
              </w:rPr>
              <w:t xml:space="preserve"> )  happy to get involved and see if this could fly.</w:t>
            </w:r>
          </w:p>
          <w:p w14:paraId="7CD512CF" w14:textId="77777777" w:rsidR="00F36AD9" w:rsidRDefault="00F36AD9" w:rsidP="00040985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  <w:p w14:paraId="41B063C0" w14:textId="49A93EA5" w:rsidR="00BA0147" w:rsidRDefault="00BA0147" w:rsidP="00040985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2" w:type="dxa"/>
          </w:tcPr>
          <w:p w14:paraId="6313BC35" w14:textId="5CC9C236" w:rsidR="00F36AD9" w:rsidRDefault="00BA014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AB</w:t>
            </w:r>
          </w:p>
          <w:p w14:paraId="26EF89C7" w14:textId="21A7E848" w:rsidR="00A23D87" w:rsidRDefault="00A23D87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BA0147" w14:paraId="0CDD2135" w14:textId="77777777" w:rsidTr="00154531">
        <w:tc>
          <w:tcPr>
            <w:tcW w:w="607" w:type="dxa"/>
          </w:tcPr>
          <w:p w14:paraId="5636A070" w14:textId="0111CDE0" w:rsidR="00BA0147" w:rsidRDefault="00BA0147" w:rsidP="00DD522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7.0</w:t>
            </w:r>
          </w:p>
        </w:tc>
        <w:tc>
          <w:tcPr>
            <w:tcW w:w="9213" w:type="dxa"/>
          </w:tcPr>
          <w:p w14:paraId="45F4568D" w14:textId="153F8B5C" w:rsidR="00BA0147" w:rsidRDefault="00BA0147" w:rsidP="00040985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CESW Case Studies</w:t>
            </w:r>
          </w:p>
          <w:p w14:paraId="41D1FB26" w14:textId="237E3FC7" w:rsidR="00BA0147" w:rsidRPr="00BA0147" w:rsidRDefault="009C1F6A" w:rsidP="00040985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AB reminded all about the CESW Case Study 1 or 2 page format that was available to showcase good practice and encourage</w:t>
            </w:r>
            <w:r w:rsidR="00B935AF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d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all to look to publish 1 in the near future. </w:t>
            </w:r>
          </w:p>
          <w:p w14:paraId="08B5D0B1" w14:textId="2313B430" w:rsidR="00BA0147" w:rsidRPr="008D7D80" w:rsidRDefault="00BA0147" w:rsidP="00040985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52" w:type="dxa"/>
          </w:tcPr>
          <w:p w14:paraId="5DF4541D" w14:textId="77777777" w:rsidR="00B935AF" w:rsidRDefault="00B935AF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4213CE46" w14:textId="3D616F37" w:rsidR="00BA0147" w:rsidRDefault="009C1F6A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All</w:t>
            </w:r>
          </w:p>
        </w:tc>
      </w:tr>
      <w:tr w:rsidR="009C1F6A" w14:paraId="1D65509B" w14:textId="77777777" w:rsidTr="00154531">
        <w:tc>
          <w:tcPr>
            <w:tcW w:w="607" w:type="dxa"/>
          </w:tcPr>
          <w:p w14:paraId="4BACAC53" w14:textId="683A9225" w:rsidR="009C1F6A" w:rsidRDefault="00B935AF" w:rsidP="00DD522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8.0</w:t>
            </w:r>
          </w:p>
        </w:tc>
        <w:tc>
          <w:tcPr>
            <w:tcW w:w="9213" w:type="dxa"/>
          </w:tcPr>
          <w:p w14:paraId="3E32D8F0" w14:textId="77777777" w:rsidR="009C1F6A" w:rsidRDefault="009C1F6A" w:rsidP="00040985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AOB</w:t>
            </w:r>
          </w:p>
          <w:p w14:paraId="17A775B6" w14:textId="77777777" w:rsidR="00B935AF" w:rsidRDefault="009C1F6A" w:rsidP="009C1F6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AB thanked Harry Broughton who is a Management Trainee at Willmott Dixon working with Mike Chaney for attending and hoped he found the discussions interesting. Harry said it was really good to hear the</w:t>
            </w:r>
            <w:r w:rsidR="00B935AF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differing</w:t>
            </w: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view point</w:t>
            </w:r>
            <w:r w:rsidR="00B935AF"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>s.</w:t>
            </w:r>
          </w:p>
          <w:p w14:paraId="3A5BC937" w14:textId="283BC2A8" w:rsidR="009C1F6A" w:rsidRPr="009C1F6A" w:rsidRDefault="009C1F6A" w:rsidP="009C1F6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</w:tcPr>
          <w:p w14:paraId="6E430D62" w14:textId="77777777" w:rsidR="009C1F6A" w:rsidRDefault="009C1F6A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040985" w14:paraId="5E0B2537" w14:textId="77777777" w:rsidTr="00154531">
        <w:tc>
          <w:tcPr>
            <w:tcW w:w="607" w:type="dxa"/>
          </w:tcPr>
          <w:p w14:paraId="1FCDF152" w14:textId="568766C4" w:rsidR="00040985" w:rsidRDefault="00B935AF" w:rsidP="00DD522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9.0</w:t>
            </w:r>
          </w:p>
        </w:tc>
        <w:tc>
          <w:tcPr>
            <w:tcW w:w="9213" w:type="dxa"/>
          </w:tcPr>
          <w:p w14:paraId="10F0B4D3" w14:textId="77777777" w:rsidR="00040985" w:rsidRDefault="00040985" w:rsidP="00040985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</w:pPr>
            <w:r w:rsidRPr="008D7D80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Date and form of next meeting</w:t>
            </w:r>
            <w:r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 xml:space="preserve">: </w:t>
            </w:r>
          </w:p>
          <w:p w14:paraId="72A89C91" w14:textId="1CDD05C8" w:rsidR="00DD522A" w:rsidRDefault="00651640" w:rsidP="00612A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Thursday </w:t>
            </w:r>
            <w:r w:rsidR="009C1F6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May 13th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2021. 12.30pm – 2pm on Zoom.</w:t>
            </w:r>
          </w:p>
          <w:p w14:paraId="3AAF883E" w14:textId="77777777" w:rsidR="00040985" w:rsidRPr="0099106B" w:rsidRDefault="00040985" w:rsidP="00DD522A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52" w:type="dxa"/>
          </w:tcPr>
          <w:p w14:paraId="3D1076D9" w14:textId="77777777" w:rsidR="00040985" w:rsidRDefault="00040985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7B0A87DD" w14:textId="47ADCDDE" w:rsidR="00DD522A" w:rsidRDefault="00DD522A" w:rsidP="00073C1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  <w:t>AB</w:t>
            </w:r>
          </w:p>
        </w:tc>
      </w:tr>
    </w:tbl>
    <w:p w14:paraId="5D8893CA" w14:textId="4129ED93" w:rsidR="00A22CAA" w:rsidRPr="00040985" w:rsidRDefault="00A22CAA" w:rsidP="00073C1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3ED44A22" w14:textId="77777777" w:rsidR="0030054D" w:rsidRDefault="0030054D" w:rsidP="0030054D">
      <w:pPr>
        <w:pStyle w:val="NormalWeb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59E6F526" w14:textId="76EE2B86" w:rsidR="00CF00C7" w:rsidRDefault="00CF00C7" w:rsidP="00DE69E3">
      <w:pPr>
        <w:spacing w:after="0" w:line="240" w:lineRule="auto"/>
        <w:ind w:left="720"/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en-GB"/>
        </w:rPr>
      </w:pPr>
    </w:p>
    <w:p w14:paraId="0C57AAD8" w14:textId="77777777" w:rsidR="00CF00C7" w:rsidRPr="008315A9" w:rsidRDefault="00CF00C7" w:rsidP="00CF00C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29CE7D77" w14:textId="77777777" w:rsidR="00141C25" w:rsidRPr="00141C25" w:rsidRDefault="00141C25" w:rsidP="00141C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41C25">
        <w:rPr>
          <w:rFonts w:eastAsia="Times New Roman" w:cstheme="minorHAnsi"/>
          <w:color w:val="222222"/>
          <w:lang w:eastAsia="en-GB"/>
        </w:rPr>
        <w:t> </w:t>
      </w:r>
    </w:p>
    <w:p w14:paraId="09EEF646" w14:textId="1C44A813" w:rsidR="00BB61B8" w:rsidRPr="005316CF" w:rsidRDefault="003D380A" w:rsidP="0004098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</w:p>
    <w:p w14:paraId="5573625C" w14:textId="46913E62" w:rsidR="0088288B" w:rsidRDefault="0088288B" w:rsidP="00B36EB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</w:pPr>
    </w:p>
    <w:sectPr w:rsidR="0088288B" w:rsidSect="00CC2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A5D"/>
    <w:multiLevelType w:val="hybridMultilevel"/>
    <w:tmpl w:val="F3C4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AB7"/>
    <w:multiLevelType w:val="hybridMultilevel"/>
    <w:tmpl w:val="21007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C18EA"/>
    <w:multiLevelType w:val="hybridMultilevel"/>
    <w:tmpl w:val="15746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353CB"/>
    <w:multiLevelType w:val="hybridMultilevel"/>
    <w:tmpl w:val="8B5A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3201"/>
    <w:multiLevelType w:val="hybridMultilevel"/>
    <w:tmpl w:val="0840C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35FF8"/>
    <w:multiLevelType w:val="hybridMultilevel"/>
    <w:tmpl w:val="D488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B1E"/>
    <w:multiLevelType w:val="hybridMultilevel"/>
    <w:tmpl w:val="00E6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21CC"/>
    <w:multiLevelType w:val="hybridMultilevel"/>
    <w:tmpl w:val="7B06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7946"/>
    <w:multiLevelType w:val="hybridMultilevel"/>
    <w:tmpl w:val="90CE9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321"/>
    <w:rsid w:val="000010C0"/>
    <w:rsid w:val="00002FAD"/>
    <w:rsid w:val="00010EBA"/>
    <w:rsid w:val="000234A0"/>
    <w:rsid w:val="000237BE"/>
    <w:rsid w:val="0002534C"/>
    <w:rsid w:val="0003644B"/>
    <w:rsid w:val="00040985"/>
    <w:rsid w:val="00057D00"/>
    <w:rsid w:val="000704E8"/>
    <w:rsid w:val="00073C19"/>
    <w:rsid w:val="00095FAB"/>
    <w:rsid w:val="000A0034"/>
    <w:rsid w:val="000A4D41"/>
    <w:rsid w:val="000A5D95"/>
    <w:rsid w:val="000C708C"/>
    <w:rsid w:val="000D1407"/>
    <w:rsid w:val="000D21ED"/>
    <w:rsid w:val="000D423D"/>
    <w:rsid w:val="000D4ED1"/>
    <w:rsid w:val="000D5279"/>
    <w:rsid w:val="000E1AFA"/>
    <w:rsid w:val="000E3008"/>
    <w:rsid w:val="000F2411"/>
    <w:rsid w:val="00136985"/>
    <w:rsid w:val="00141C25"/>
    <w:rsid w:val="00143B43"/>
    <w:rsid w:val="001518E4"/>
    <w:rsid w:val="00154531"/>
    <w:rsid w:val="001848F1"/>
    <w:rsid w:val="00196BF7"/>
    <w:rsid w:val="001E5177"/>
    <w:rsid w:val="001F601B"/>
    <w:rsid w:val="00215DD8"/>
    <w:rsid w:val="00215FB2"/>
    <w:rsid w:val="002177E4"/>
    <w:rsid w:val="002539C2"/>
    <w:rsid w:val="002A7FCC"/>
    <w:rsid w:val="002C3FBF"/>
    <w:rsid w:val="002C4C7F"/>
    <w:rsid w:val="002F4803"/>
    <w:rsid w:val="0030054D"/>
    <w:rsid w:val="00303E39"/>
    <w:rsid w:val="003328D5"/>
    <w:rsid w:val="00333018"/>
    <w:rsid w:val="00363DA5"/>
    <w:rsid w:val="003736BC"/>
    <w:rsid w:val="00375D05"/>
    <w:rsid w:val="003C4E1A"/>
    <w:rsid w:val="003D1B2A"/>
    <w:rsid w:val="003D380A"/>
    <w:rsid w:val="003F7ED8"/>
    <w:rsid w:val="00423651"/>
    <w:rsid w:val="00445E80"/>
    <w:rsid w:val="00461504"/>
    <w:rsid w:val="00465A83"/>
    <w:rsid w:val="00481845"/>
    <w:rsid w:val="004B0CD9"/>
    <w:rsid w:val="004B675C"/>
    <w:rsid w:val="004E15DB"/>
    <w:rsid w:val="004E3768"/>
    <w:rsid w:val="004E4E67"/>
    <w:rsid w:val="004F22FD"/>
    <w:rsid w:val="004F5602"/>
    <w:rsid w:val="00505EF8"/>
    <w:rsid w:val="00512B66"/>
    <w:rsid w:val="005316CF"/>
    <w:rsid w:val="00536AFC"/>
    <w:rsid w:val="00553D17"/>
    <w:rsid w:val="005727CE"/>
    <w:rsid w:val="00572BF7"/>
    <w:rsid w:val="00576B44"/>
    <w:rsid w:val="005A141B"/>
    <w:rsid w:val="005A49F6"/>
    <w:rsid w:val="005B0BD7"/>
    <w:rsid w:val="00612A21"/>
    <w:rsid w:val="00635A3D"/>
    <w:rsid w:val="00650114"/>
    <w:rsid w:val="00651640"/>
    <w:rsid w:val="00651982"/>
    <w:rsid w:val="0066145A"/>
    <w:rsid w:val="00671A4D"/>
    <w:rsid w:val="00685B02"/>
    <w:rsid w:val="0069142F"/>
    <w:rsid w:val="006C3415"/>
    <w:rsid w:val="006C5BF1"/>
    <w:rsid w:val="006E072E"/>
    <w:rsid w:val="00706E9A"/>
    <w:rsid w:val="00707A8D"/>
    <w:rsid w:val="00716E46"/>
    <w:rsid w:val="0073767E"/>
    <w:rsid w:val="00745F9B"/>
    <w:rsid w:val="00755601"/>
    <w:rsid w:val="0075739E"/>
    <w:rsid w:val="00774AF8"/>
    <w:rsid w:val="00775FD7"/>
    <w:rsid w:val="00781FE0"/>
    <w:rsid w:val="0078324F"/>
    <w:rsid w:val="00785AC7"/>
    <w:rsid w:val="007A14DB"/>
    <w:rsid w:val="007D1232"/>
    <w:rsid w:val="007E0217"/>
    <w:rsid w:val="007E79D7"/>
    <w:rsid w:val="007F1CD7"/>
    <w:rsid w:val="00813D08"/>
    <w:rsid w:val="008252CE"/>
    <w:rsid w:val="0088288B"/>
    <w:rsid w:val="008D7D80"/>
    <w:rsid w:val="008E3DE7"/>
    <w:rsid w:val="00903ABE"/>
    <w:rsid w:val="00926321"/>
    <w:rsid w:val="00964D57"/>
    <w:rsid w:val="0098656B"/>
    <w:rsid w:val="0099106B"/>
    <w:rsid w:val="009940F9"/>
    <w:rsid w:val="009A020C"/>
    <w:rsid w:val="009A186A"/>
    <w:rsid w:val="009A1973"/>
    <w:rsid w:val="009A6D08"/>
    <w:rsid w:val="009C00F0"/>
    <w:rsid w:val="009C1F6A"/>
    <w:rsid w:val="009D1B29"/>
    <w:rsid w:val="00A22CAA"/>
    <w:rsid w:val="00A23D87"/>
    <w:rsid w:val="00A46F54"/>
    <w:rsid w:val="00A56CFF"/>
    <w:rsid w:val="00A57DD7"/>
    <w:rsid w:val="00A64CEB"/>
    <w:rsid w:val="00A66D51"/>
    <w:rsid w:val="00A83552"/>
    <w:rsid w:val="00A83B04"/>
    <w:rsid w:val="00A84E80"/>
    <w:rsid w:val="00A94B9E"/>
    <w:rsid w:val="00A95356"/>
    <w:rsid w:val="00AB42E8"/>
    <w:rsid w:val="00AB4B93"/>
    <w:rsid w:val="00AB649B"/>
    <w:rsid w:val="00AB69EF"/>
    <w:rsid w:val="00AD6E72"/>
    <w:rsid w:val="00AF72F2"/>
    <w:rsid w:val="00B03237"/>
    <w:rsid w:val="00B36C5C"/>
    <w:rsid w:val="00B36EBF"/>
    <w:rsid w:val="00B45D3C"/>
    <w:rsid w:val="00B47098"/>
    <w:rsid w:val="00B63483"/>
    <w:rsid w:val="00B76CCA"/>
    <w:rsid w:val="00B8236B"/>
    <w:rsid w:val="00B82F2A"/>
    <w:rsid w:val="00B935AF"/>
    <w:rsid w:val="00BA0147"/>
    <w:rsid w:val="00BB3482"/>
    <w:rsid w:val="00BB61B8"/>
    <w:rsid w:val="00BC28B8"/>
    <w:rsid w:val="00BF6E19"/>
    <w:rsid w:val="00C46023"/>
    <w:rsid w:val="00C52CB7"/>
    <w:rsid w:val="00C53708"/>
    <w:rsid w:val="00C605B9"/>
    <w:rsid w:val="00C609B3"/>
    <w:rsid w:val="00CA2677"/>
    <w:rsid w:val="00CA5922"/>
    <w:rsid w:val="00CA7EA2"/>
    <w:rsid w:val="00CC2C6C"/>
    <w:rsid w:val="00CD0ED0"/>
    <w:rsid w:val="00CE1603"/>
    <w:rsid w:val="00CF0074"/>
    <w:rsid w:val="00CF00C7"/>
    <w:rsid w:val="00D1196E"/>
    <w:rsid w:val="00D21323"/>
    <w:rsid w:val="00D31BD1"/>
    <w:rsid w:val="00D71EED"/>
    <w:rsid w:val="00DA292A"/>
    <w:rsid w:val="00DC7E02"/>
    <w:rsid w:val="00DD522A"/>
    <w:rsid w:val="00DE3B76"/>
    <w:rsid w:val="00DE69E3"/>
    <w:rsid w:val="00E04E71"/>
    <w:rsid w:val="00E068C0"/>
    <w:rsid w:val="00E424DF"/>
    <w:rsid w:val="00E62A12"/>
    <w:rsid w:val="00E91E3F"/>
    <w:rsid w:val="00EB23FB"/>
    <w:rsid w:val="00EB3CC9"/>
    <w:rsid w:val="00EB42CD"/>
    <w:rsid w:val="00EB4BC0"/>
    <w:rsid w:val="00EB65F0"/>
    <w:rsid w:val="00EC4164"/>
    <w:rsid w:val="00ED4CBC"/>
    <w:rsid w:val="00EE1590"/>
    <w:rsid w:val="00EE27F5"/>
    <w:rsid w:val="00F36AD9"/>
    <w:rsid w:val="00F404F7"/>
    <w:rsid w:val="00F41A8A"/>
    <w:rsid w:val="00F5144F"/>
    <w:rsid w:val="00F57511"/>
    <w:rsid w:val="00F77529"/>
    <w:rsid w:val="00F84F33"/>
    <w:rsid w:val="00FA2DA8"/>
    <w:rsid w:val="00FA3416"/>
    <w:rsid w:val="00FB0C45"/>
    <w:rsid w:val="00FD2954"/>
    <w:rsid w:val="00FD341B"/>
    <w:rsid w:val="00FD719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9A7F"/>
  <w15:docId w15:val="{D76FA421-9D98-4303-B7CB-1B19514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9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3ABE"/>
    <w:rPr>
      <w:b/>
      <w:bCs/>
    </w:rPr>
  </w:style>
  <w:style w:type="character" w:customStyle="1" w:styleId="il">
    <w:name w:val="il"/>
    <w:basedOn w:val="DefaultParagraphFont"/>
    <w:rsid w:val="00EB3CC9"/>
  </w:style>
  <w:style w:type="character" w:customStyle="1" w:styleId="Heading1Char">
    <w:name w:val="Heading 1 Char"/>
    <w:basedOn w:val="DefaultParagraphFont"/>
    <w:link w:val="Heading1"/>
    <w:uiPriority w:val="9"/>
    <w:rsid w:val="00A56C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7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E34A-7EFA-4973-81E7-3CEC5E21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Jones</dc:creator>
  <cp:lastModifiedBy>Andrew Brown</cp:lastModifiedBy>
  <cp:revision>6</cp:revision>
  <cp:lastPrinted>2019-10-20T16:00:00Z</cp:lastPrinted>
  <dcterms:created xsi:type="dcterms:W3CDTF">2021-04-30T09:21:00Z</dcterms:created>
  <dcterms:modified xsi:type="dcterms:W3CDTF">2021-04-30T15:05:00Z</dcterms:modified>
</cp:coreProperties>
</file>